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4C19FA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720" w:lineRule="auto"/>
        <w:ind w:firstLine="640" w:firstLineChars="200"/>
        <w:jc w:val="center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hAnsi="黑体" w:cs="黑体"/>
          <w:b w:val="0"/>
          <w:bCs/>
          <w:sz w:val="32"/>
          <w:szCs w:val="32"/>
          <w:lang w:val="en-US" w:eastAsia="zh-CN"/>
        </w:rPr>
        <w:t>新晃侗族自治县统计局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关于</w:t>
      </w:r>
      <w:r>
        <w:rPr>
          <w:rFonts w:hint="eastAsia"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年度预算绩效情况的说明</w:t>
      </w:r>
      <w:bookmarkStart w:id="0" w:name="_GoBack"/>
      <w:bookmarkEnd w:id="0"/>
    </w:p>
    <w:p w14:paraId="257D9EB6"/>
    <w:p w14:paraId="07B4E9BF">
      <w:pPr>
        <w:numPr>
          <w:ilvl w:val="0"/>
          <w:numId w:val="1"/>
        </w:numPr>
        <w:overflowPunct w:val="0"/>
        <w:spacing w:line="600" w:lineRule="exact"/>
        <w:ind w:firstLine="643" w:firstLineChars="20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楷体_GB2312" w:cs="Times New Roman"/>
          <w:b/>
          <w:bCs/>
          <w:sz w:val="32"/>
          <w:szCs w:val="32"/>
        </w:rPr>
        <w:t>绩效评价工作开展情况。</w:t>
      </w: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一是绩效自评开展情况。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组织对2024年度本部门（单位）整体支出开展绩效自评，涉及项目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6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个，共涉及资金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31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7.36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万元。其中，一般公共预算项目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6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 xml:space="preserve"> 个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317.36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 xml:space="preserve"> 万元，占一般公共预算支出总额的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88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%；政府性基金预算项目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万元，占政府性基金预算支出总额的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%；国有资本经营预算项目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 xml:space="preserve"> 个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 xml:space="preserve"> 万元，占国有资本经营预算支出总额的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%；社会保险基金预算项目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 xml:space="preserve"> 个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 xml:space="preserve"> 万元，占社会保险基金预算支出总额的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%。</w:t>
      </w:r>
    </w:p>
    <w:p w14:paraId="1A6C0699">
      <w:pPr>
        <w:numPr>
          <w:numId w:val="0"/>
        </w:numPr>
        <w:overflowPunct w:val="0"/>
        <w:spacing w:line="600" w:lineRule="exact"/>
        <w:ind w:firstLine="643" w:firstLineChars="200"/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二是部门评价开展情况</w:t>
      </w:r>
    </w:p>
    <w:p w14:paraId="6F6431EC">
      <w:pPr>
        <w:numPr>
          <w:numId w:val="0"/>
        </w:numPr>
        <w:overflowPunct w:val="0"/>
        <w:spacing w:line="600" w:lineRule="exact"/>
        <w:ind w:firstLine="640" w:firstLineChars="20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组织对所属单位2024年度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联网直报企业培训、第五次经济普查、专项业务费劳动力调查、离退休人员生活补助、城乡住房收支与生活状况调查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等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个项目开展了部门评价，涉及一般公共预算支出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317.36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万元，政府性基金预算支出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317.36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万元，国有资本经营预算支出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万元，社会保险基金预算支出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万元。</w:t>
      </w:r>
    </w:p>
    <w:p w14:paraId="26E88FCE">
      <w:pPr>
        <w:numPr>
          <w:ilvl w:val="0"/>
          <w:numId w:val="1"/>
        </w:numPr>
        <w:overflowPunct w:val="0"/>
        <w:spacing w:line="600" w:lineRule="exact"/>
        <w:ind w:left="0" w:leftChars="0" w:firstLine="643" w:firstLineChars="200"/>
        <w:rPr>
          <w:rFonts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ascii="Times New Roman" w:hAnsi="Times New Roman" w:eastAsia="楷体_GB2312" w:cs="Times New Roman"/>
          <w:b/>
          <w:bCs/>
          <w:sz w:val="32"/>
          <w:szCs w:val="32"/>
        </w:rPr>
        <w:t>绩效评价结果。</w:t>
      </w:r>
    </w:p>
    <w:p w14:paraId="2F2E52DC">
      <w:pPr>
        <w:numPr>
          <w:numId w:val="0"/>
        </w:numPr>
        <w:overflowPunct w:val="0"/>
        <w:spacing w:line="600" w:lineRule="exact"/>
        <w:ind w:firstLine="643" w:firstLineChars="20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一是绩效自评结果。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2024年度本部门（单位）整体</w:t>
      </w:r>
    </w:p>
    <w:p w14:paraId="2DD014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bottom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支出</w:t>
      </w:r>
      <w:r>
        <w:rPr>
          <w:rFonts w:ascii="Times New Roman" w:hAnsi="Times New Roman" w:eastAsia="仿宋_GB2312" w:cs="Times New Roman"/>
          <w:sz w:val="32"/>
          <w:szCs w:val="32"/>
        </w:rPr>
        <w:t>全年预算数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317.36</w:t>
      </w:r>
      <w:r>
        <w:rPr>
          <w:rFonts w:ascii="Times New Roman" w:hAnsi="Times New Roman" w:eastAsia="仿宋_GB2312" w:cs="Times New Roman"/>
          <w:sz w:val="32"/>
          <w:szCs w:val="32"/>
        </w:rPr>
        <w:t>万元，执行数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278.11</w:t>
      </w:r>
      <w:r>
        <w:rPr>
          <w:rFonts w:ascii="Times New Roman" w:hAnsi="Times New Roman" w:eastAsia="仿宋_GB2312" w:cs="Times New Roman"/>
          <w:sz w:val="32"/>
          <w:szCs w:val="32"/>
        </w:rPr>
        <w:t>万元，完成预算的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88</w:t>
      </w:r>
      <w:r>
        <w:rPr>
          <w:rFonts w:ascii="Times New Roman" w:hAnsi="Times New Roman" w:eastAsia="仿宋_GB2312" w:cs="Times New Roman"/>
          <w:sz w:val="32"/>
          <w:szCs w:val="32"/>
        </w:rPr>
        <w:t>%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，绩效自评得分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94</w:t>
      </w:r>
      <w:r>
        <w:rPr>
          <w:rFonts w:ascii="Times New Roman" w:hAnsi="Times New Roman" w:eastAsia="仿宋_GB2312" w:cs="Times New Roman"/>
          <w:sz w:val="32"/>
          <w:szCs w:val="32"/>
        </w:rPr>
        <w:t>分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，评价等级为</w:t>
      </w:r>
      <w:r>
        <w:rPr>
          <w:rFonts w:ascii="Times New Roman" w:hAnsi="Times New Roman" w:eastAsia="仿宋_GB2312" w:cs="Times New Roman"/>
          <w:sz w:val="32"/>
          <w:szCs w:val="32"/>
        </w:rPr>
        <w:t>“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优</w:t>
      </w:r>
      <w:r>
        <w:rPr>
          <w:rFonts w:ascii="Times New Roman" w:hAnsi="Times New Roman" w:eastAsia="仿宋_GB2312" w:cs="Times New Roman"/>
          <w:sz w:val="32"/>
          <w:szCs w:val="32"/>
        </w:rPr>
        <w:t>”。绩效目标完成情况：</w:t>
      </w:r>
    </w:p>
    <w:p w14:paraId="455560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bottom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明确评价主体与对象：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单位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的城乡住户和生活状况调查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/>
        </w:rPr>
        <w:t>工作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，该项目主要是</w:t>
      </w:r>
      <w:r>
        <w:rPr>
          <w:rFonts w:hint="eastAsia" w:ascii="仿宋_GB2312" w:hAnsi="仿宋_GB2312" w:eastAsia="仿宋_GB2312" w:cs="仿宋_GB2312"/>
          <w:sz w:val="32"/>
          <w:szCs w:val="32"/>
        </w:rPr>
        <w:t>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成规定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统计全县粮食、牲畜、人均可支配情况，小微企业及规下企业收入情况，了解全县生活水平做出合理的评价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20F89C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bottom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2. 确定评价指标体系：从数据质量、报送效率、成本效益、企业满意度等维度构建指标体系。例如数据质量方面，考察数据的准确性、完整性、一致性；报送效率关注报送及时率、逾期率；成本效益评估系统建设维护成本、人力投入与产出的数据价值；企业满意度通过问卷调查企业对直报工作流程、系统易用性等方面的感受 。</w:t>
      </w:r>
    </w:p>
    <w:p w14:paraId="75EF96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bottom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3. 制定评价方法与标准：采用定量与定性相结合的方法。定量上，如报送及时率=按时报送企业数量÷应报送企业总数×100% ，设置95%及以上为优秀、85%-95%为良好、70%-85%为合格、70%以下为不合格的标准；定性上，通过专家打分、企业访谈等方式对系统易用性等难以量化的指标进行评价。</w:t>
      </w:r>
    </w:p>
    <w:p w14:paraId="7C353B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bottom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</w:rPr>
        <w:t>绩效评价工作过程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" w:hAnsi="仿宋" w:eastAsia="仿宋"/>
          <w:sz w:val="28"/>
          <w:szCs w:val="28"/>
        </w:rPr>
        <w:t>认真参照项目绩效评分标准，对执行情况逐项进行量化评分。</w:t>
      </w:r>
    </w:p>
    <w:p w14:paraId="683910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bottom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综合评价情况及评价结论</w:t>
      </w:r>
    </w:p>
    <w:p w14:paraId="481C46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bottom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《湖南省预算支出绩效评价管理办法》（湘财绩〔2020〕7号）和《新晃侗族自治县财政局关于开展2024年度部门预算支出绩效自评工作的通知》（晃财绩〔2025〕1号）等文件要求，我单位成立了绩效自评工作小组，对企业联网直报培训工作项目支出开展了绩效自评工作。组织人员收集项目资料，检查会计凭证，在规定的时间内，对项目的实施过程进行了全面、科学、细致的评价。</w:t>
      </w:r>
    </w:p>
    <w:p w14:paraId="5F91EB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bottom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本次自评，对照项目绩效目标，从项目预算编制、项目组织管理、资金使用、项目产出、项目效益、满意度等方面逐一分析评价，总体自评得分90分，绩效评价等级为“优”。</w:t>
      </w:r>
    </w:p>
    <w:p w14:paraId="7AF6FB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bottom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四、绩效评价指标分析</w:t>
      </w:r>
    </w:p>
    <w:p w14:paraId="4D0970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bottom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（一）项目决策情况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通过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预算转指标（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0008号联网直报企业培训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工作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60万元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晃财预内〔2024〕0500号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，晃财预内〔2024〕0045号增加预算资金0万元，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共计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40.81万元预算资金指标下达到位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在年初对该项专项经费认真列好支出预算，严格按照专项资金管理制度保证资金及时足额发放到位。</w:t>
      </w:r>
    </w:p>
    <w:p w14:paraId="56CB42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bottom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（二）项目过程情况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：城乡住户收支与生活状况调查项目旨在全面、准确地了解城乡居民的收入、支出以及生活状况，为政府制定民生政策、研究经济社会发展趋势提供关键数据支撑。</w:t>
      </w:r>
    </w:p>
    <w:p w14:paraId="3914E2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bottom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（三）项目产出情况</w:t>
      </w:r>
    </w:p>
    <w:p w14:paraId="33D680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bottom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产出时效：保障城乡住户收支与生活状况的统计工作的完成。</w:t>
      </w:r>
    </w:p>
    <w:p w14:paraId="73B2F8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bottom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产出数量：达成参与上级安城乡住户收支与生活状况的统计工作。</w:t>
      </w:r>
    </w:p>
    <w:p w14:paraId="6B783A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bottom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产出质量：城乡住户收支与生活状况完成率达90%。</w:t>
      </w:r>
    </w:p>
    <w:p w14:paraId="746708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bottom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成本控制：城乡住户收支与生活状况成本投入不超过预算。</w:t>
      </w:r>
    </w:p>
    <w:p w14:paraId="22404E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bottom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（四）项目效益情况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该项目主要是</w:t>
      </w:r>
      <w:r>
        <w:rPr>
          <w:rFonts w:hint="eastAsia" w:ascii="仿宋_GB2312" w:hAnsi="仿宋_GB2312" w:eastAsia="仿宋_GB2312" w:cs="仿宋_GB2312"/>
          <w:sz w:val="32"/>
          <w:szCs w:val="32"/>
        </w:rPr>
        <w:t>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成规定统计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全县粮食、牲畜、人均可支配情况，小微企业及规下企业收入情况，了解全县生活水平做出合理的评价。</w:t>
      </w:r>
    </w:p>
    <w:p w14:paraId="2BA748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bottom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五、主要经验及做法、存在的问题及原因分析</w:t>
      </w:r>
    </w:p>
    <w:p w14:paraId="214C4F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bottom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经验及做法：专款专用，高效完成城乡住户收支与生活状况的统计工作。</w:t>
      </w:r>
    </w:p>
    <w:p w14:paraId="71442F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bottom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存在的问题：无。</w:t>
      </w:r>
    </w:p>
    <w:p w14:paraId="4FA9A8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bottom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原因分析：无</w:t>
      </w:r>
    </w:p>
    <w:p w14:paraId="288BED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bottom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结果、部门评价结果、财政评价结果对本部门2025年度预算安排，支出结构调整，资金管理，制度建设等方面结果运用进行简要说明。</w:t>
      </w:r>
    </w:p>
    <w:p w14:paraId="79E834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bottom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19298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bottom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86A495C"/>
    <w:multiLevelType w:val="singleLevel"/>
    <w:tmpl w:val="786A495C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FiZjM2MjQwZTcwNjYyYzc4NDQ2ZDkzYWM3NGZmNDAifQ=="/>
  </w:docVars>
  <w:rsids>
    <w:rsidRoot w:val="00000000"/>
    <w:rsid w:val="32992EA4"/>
    <w:rsid w:val="489A18C8"/>
    <w:rsid w:val="506374B2"/>
    <w:rsid w:val="532D0ECE"/>
    <w:rsid w:val="727342FE"/>
    <w:rsid w:val="7BB26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unhideWhenUsed/>
    <w:qFormat/>
    <w:uiPriority w:val="99"/>
    <w:pPr>
      <w:widowControl/>
      <w:spacing w:after="120"/>
      <w:ind w:left="420" w:leftChars="200"/>
      <w:jc w:val="left"/>
    </w:pPr>
    <w:rPr>
      <w:rFonts w:ascii="宋体" w:hAnsi="宋体" w:eastAsia="宋体" w:cs="宋体"/>
      <w:kern w:val="0"/>
      <w:sz w:val="24"/>
    </w:rPr>
  </w:style>
  <w:style w:type="paragraph" w:styleId="3">
    <w:name w:val="Body Text First Indent 2"/>
    <w:basedOn w:val="2"/>
    <w:next w:val="1"/>
    <w:unhideWhenUsed/>
    <w:qFormat/>
    <w:uiPriority w:val="99"/>
    <w:pPr>
      <w:ind w:firstLine="420" w:firstLineChars="200"/>
    </w:pPr>
  </w:style>
  <w:style w:type="paragraph" w:styleId="4">
    <w:name w:val="footnote text"/>
    <w:basedOn w:val="1"/>
    <w:next w:val="3"/>
    <w:semiHidden/>
    <w:qFormat/>
    <w:uiPriority w:val="0"/>
    <w:pPr>
      <w:snapToGrid w:val="0"/>
      <w:jc w:val="left"/>
    </w:pPr>
    <w:rPr>
      <w:sz w:val="18"/>
      <w:szCs w:val="18"/>
    </w:r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844</Words>
  <Characters>935</Characters>
  <Lines>0</Lines>
  <Paragraphs>0</Paragraphs>
  <TotalTime>1</TotalTime>
  <ScaleCrop>false</ScaleCrop>
  <LinksUpToDate>false</LinksUpToDate>
  <CharactersWithSpaces>944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微信用户</cp:lastModifiedBy>
  <dcterms:modified xsi:type="dcterms:W3CDTF">2025-09-17T08:10:26Z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12A71744045445B687D66BD13FB312DC_12</vt:lpwstr>
  </property>
  <property fmtid="{D5CDD505-2E9C-101B-9397-08002B2CF9AE}" pid="4" name="KSOTemplateDocerSaveRecord">
    <vt:lpwstr>eyJoZGlkIjoiMTQ4ZmUzZGU1OTQxNTk1ZGQ1MjY4NTA3OTExZmE0YTciLCJ1c2VySWQiOiIxMjg0NTg3NjM3In0=</vt:lpwstr>
  </property>
</Properties>
</file>